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5" w:name="requerimento-de-penhora-de-bens"/>
    <w:p>
      <w:pPr>
        <w:pStyle w:val="Heading2"/>
      </w:pPr>
      <w:r>
        <w:t xml:space="preserve">REQUERIMENTO DE PENHORA DE BENS</w:t>
      </w:r>
    </w:p>
    <w:p>
      <w:pPr>
        <w:pStyle w:val="FirstParagraph"/>
      </w:pPr>
      <w:r>
        <w:rPr>
          <w:b/>
          <w:bCs/>
        </w:rPr>
        <w:t xml:space="preserve">Garantia de Cumprimento da Sentença – Processo n.º 1234/2026</w:t>
      </w:r>
    </w:p>
    <w:p>
      <w:pPr>
        <w:pStyle w:val="BodyText"/>
      </w:pPr>
      <w:r>
        <w:rPr>
          <w:b/>
          <w:bCs/>
        </w:rPr>
        <w:t xml:space="preserve">Vara da Família e dos Menores da Comarca de Lisboa</w:t>
      </w:r>
    </w:p>
    <w:p>
      <w:pPr>
        <w:pStyle w:val="BodyText"/>
      </w:pPr>
      <w:r>
        <w:rPr>
          <w:b/>
          <w:bCs/>
        </w:rPr>
        <w:t xml:space="preserve">Autor/Requerente:</w:t>
      </w:r>
      <w:r>
        <w:t xml:space="preserve"> </w:t>
      </w:r>
      <w:r>
        <w:t xml:space="preserve">Maria da Conceição Silva, NIF 123 456 789, residente em Rua das Flores, nº 45, 2.º Esq., 1150‑200 Lisboa.</w:t>
      </w:r>
    </w:p>
    <w:p>
      <w:pPr>
        <w:pStyle w:val="BodyText"/>
      </w:pPr>
      <w:r>
        <w:rPr>
          <w:b/>
          <w:bCs/>
        </w:rPr>
        <w:t xml:space="preserve">Réu/Requerido:</w:t>
      </w:r>
      <w:r>
        <w:t xml:space="preserve"> </w:t>
      </w:r>
      <w:r>
        <w:t xml:space="preserve">José António Pereira, NIF 987 654 321, residente em Avenida da República, nº 123, 4.º Esq., 4000‑250 Porto.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Dr. Ana Sofia Martins</w:t>
      </w:r>
      <w:r>
        <w:t xml:space="preserve">, advogado, OAB/Portugal nº 12345, NIF 234 567 890, com escritório em Rua da Prata, nº 10, 2.º Dto., 1200‑345 Lisboa.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Dr. Luís Fernando Carvalho</w:t>
      </w:r>
      <w:r>
        <w:t xml:space="preserve">, advogado, OAB/Portugal nº 67890, NIF 345 678 901, com escritório em Avenida das Américas, nº 22, 3.º Esq., 3000‑150 Coimbra.</w:t>
      </w:r>
    </w:p>
    <w:p>
      <w:pPr>
        <w:pStyle w:val="BodyText"/>
      </w:pPr>
      <w:r>
        <w:rPr>
          <w:b/>
          <w:bCs/>
        </w:rPr>
        <w:t xml:space="preserve">Juiz de Direito:</w:t>
      </w:r>
      <w:r>
        <w:t xml:space="preserve"> </w:t>
      </w:r>
      <w:r>
        <w:t xml:space="preserve">Dr. Manuel Joaquim Silva</w:t>
      </w:r>
    </w:p>
    <w:p>
      <w:pPr>
        <w:pStyle w:val="BodyText"/>
      </w:pPr>
      <w:r>
        <w:t xml:space="preserve">Lisboa, 15 de março de 2024</w:t>
      </w:r>
    </w:p>
    <w:p>
      <w:r>
        <w:pict>
          <v:rect style="width:0;height:1.5pt" o:hralign="center" o:hrstd="t" o:hr="t"/>
        </w:pict>
      </w:r>
    </w:p>
    <w:bookmarkStart w:id="9" w:name="i.-exposição-dos-factos"/>
    <w:p>
      <w:pPr>
        <w:pStyle w:val="Heading3"/>
      </w:pPr>
      <w:r>
        <w:t xml:space="preserve">I. Exposição dos Factos</w:t>
      </w:r>
    </w:p>
    <w:p>
      <w:pPr>
        <w:numPr>
          <w:ilvl w:val="0"/>
          <w:numId w:val="1001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15 de janeiro de 2023</w:t>
      </w:r>
      <w:r>
        <w:t xml:space="preserve">, foi proferida sentença nos autos do processo acima identificado, determinando a fixação de</w:t>
      </w:r>
      <w:r>
        <w:t xml:space="preserve"> </w:t>
      </w:r>
      <w:r>
        <w:rPr>
          <w:b/>
          <w:bCs/>
        </w:rPr>
        <w:t xml:space="preserve">regime de visitas supervisionadas</w:t>
      </w:r>
      <w:r>
        <w:t xml:space="preserve"> </w:t>
      </w:r>
      <w:r>
        <w:t xml:space="preserve">ao menor Ana Sofia Pereira, de 8 (oito) anos, bem como o pagamento das</w:t>
      </w:r>
      <w:r>
        <w:t xml:space="preserve"> </w:t>
      </w:r>
      <w:r>
        <w:rPr>
          <w:b/>
          <w:bCs/>
        </w:rPr>
        <w:t xml:space="preserve">custas processuais</w:t>
      </w:r>
      <w:r>
        <w:t xml:space="preserve"> </w:t>
      </w:r>
      <w:r>
        <w:t xml:space="preserve">e dos</w:t>
      </w:r>
      <w:r>
        <w:t xml:space="preserve"> </w:t>
      </w:r>
      <w:r>
        <w:rPr>
          <w:b/>
          <w:bCs/>
        </w:rPr>
        <w:t xml:space="preserve">despesas de acompanhamento psicossocial</w:t>
      </w:r>
      <w:r>
        <w:t xml:space="preserve"> </w:t>
      </w:r>
      <w:r>
        <w:t xml:space="preserve">no montante de</w:t>
      </w:r>
      <w:r>
        <w:t xml:space="preserve"> </w:t>
      </w:r>
      <w:r>
        <w:rPr>
          <w:b/>
          <w:bCs/>
        </w:rPr>
        <w:t xml:space="preserve">€ 2 500,00 (dois mil e quinhentos euros)</w:t>
      </w:r>
      <w:r>
        <w:t xml:space="preserve">.</w:t>
      </w:r>
    </w:p>
    <w:p>
      <w:pPr>
        <w:numPr>
          <w:ilvl w:val="0"/>
          <w:numId w:val="1001"/>
        </w:numPr>
      </w:pPr>
      <w:r>
        <w:t xml:space="preserve">O Réu,</w:t>
      </w:r>
      <w:r>
        <w:t xml:space="preserve"> </w:t>
      </w:r>
      <w:r>
        <w:rPr>
          <w:b/>
          <w:bCs/>
        </w:rPr>
        <w:t xml:space="preserve">José António Pereira</w:t>
      </w:r>
      <w:r>
        <w:t xml:space="preserve">, tem incumprido reiteradamente o regime de visitas estabelecido, atrasando ou deixando de cumprir as datas fixadas, o que tem causado</w:t>
      </w:r>
      <w:r>
        <w:t xml:space="preserve"> </w:t>
      </w:r>
      <w:r>
        <w:rPr>
          <w:b/>
          <w:bCs/>
        </w:rPr>
        <w:t xml:space="preserve">instabilidade emocional</w:t>
      </w:r>
      <w:r>
        <w:t xml:space="preserve"> </w:t>
      </w:r>
      <w:r>
        <w:t xml:space="preserve">à menor, contrariando o melhor interesse da criança, fundamento da decisão judicial.</w:t>
      </w:r>
    </w:p>
    <w:p>
      <w:pPr>
        <w:numPr>
          <w:ilvl w:val="0"/>
          <w:numId w:val="1001"/>
        </w:numPr>
      </w:pPr>
      <w:r>
        <w:t xml:space="preserve">Apesar das</w:t>
      </w:r>
      <w:r>
        <w:t xml:space="preserve"> </w:t>
      </w:r>
      <w:r>
        <w:rPr>
          <w:b/>
          <w:bCs/>
        </w:rPr>
        <w:t xml:space="preserve">notificações extrajudiciais</w:t>
      </w:r>
      <w:r>
        <w:t xml:space="preserve"> </w:t>
      </w:r>
      <w:r>
        <w:t xml:space="preserve">enviadas em</w:t>
      </w:r>
      <w:r>
        <w:t xml:space="preserve"> </w:t>
      </w:r>
      <w:r>
        <w:rPr>
          <w:b/>
          <w:bCs/>
        </w:rPr>
        <w:t xml:space="preserve">10 de fevereiro de 2024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5 de março de 2024</w:t>
      </w:r>
      <w:r>
        <w:t xml:space="preserve">, o Réu não efetuou o pagamento das referidas custas nem tem comparecido às visitas supervisionadas, configurando</w:t>
      </w:r>
      <w:r>
        <w:t xml:space="preserve"> </w:t>
      </w:r>
      <w:r>
        <w:rPr>
          <w:b/>
          <w:bCs/>
        </w:rPr>
        <w:t xml:space="preserve">inadimplência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desrespeito</w:t>
      </w:r>
      <w:r>
        <w:t xml:space="preserve"> </w:t>
      </w:r>
      <w:r>
        <w:t xml:space="preserve">à decisão judicial.</w:t>
      </w:r>
    </w:p>
    <w:p>
      <w:pPr>
        <w:numPr>
          <w:ilvl w:val="0"/>
          <w:numId w:val="1001"/>
        </w:numPr>
      </w:pPr>
      <w:r>
        <w:t xml:space="preserve">Em atenção ao princípio da</w:t>
      </w:r>
      <w:r>
        <w:t xml:space="preserve"> </w:t>
      </w:r>
      <w:r>
        <w:rPr>
          <w:b/>
          <w:bCs/>
        </w:rPr>
        <w:t xml:space="preserve">efetividade da tutela jurisdicional</w:t>
      </w:r>
      <w:r>
        <w:t xml:space="preserve"> </w:t>
      </w:r>
      <w:r>
        <w:t xml:space="preserve">(art.º 20.º da Constituição da República) e ao disposto no</w:t>
      </w:r>
      <w:r>
        <w:t xml:space="preserve"> </w:t>
      </w:r>
      <w:r>
        <w:rPr>
          <w:b/>
          <w:bCs/>
        </w:rPr>
        <w:t xml:space="preserve">Código de Processo Civil (CPC)</w:t>
      </w:r>
      <w:r>
        <w:t xml:space="preserve"> </w:t>
      </w:r>
      <w:r>
        <w:t xml:space="preserve">– artigos 660.º a 673.º – é imprescindível a adoção de medida cautelar de</w:t>
      </w:r>
      <w:r>
        <w:t xml:space="preserve"> </w:t>
      </w:r>
      <w:r>
        <w:rPr>
          <w:b/>
          <w:bCs/>
        </w:rPr>
        <w:t xml:space="preserve">penhora de bens</w:t>
      </w:r>
      <w:r>
        <w:t xml:space="preserve"> </w:t>
      </w:r>
      <w:r>
        <w:t xml:space="preserve">para garantir o cumprimento da sentença.</w:t>
      </w:r>
    </w:p>
    <w:p>
      <w:r>
        <w:pict>
          <v:rect style="width:0;height:1.5pt" o:hralign="center" o:hrstd="t" o:hr="t"/>
        </w:pict>
      </w:r>
    </w:p>
    <w:bookmarkEnd w:id="9"/>
    <w:bookmarkStart w:id="10" w:name="ii.-fundamentação-jurídica"/>
    <w:p>
      <w:pPr>
        <w:pStyle w:val="Heading3"/>
      </w:pPr>
      <w:r>
        <w:t xml:space="preserve">II. Fundamentação Jurídica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377"/>
        <w:gridCol w:w="3271"/>
        <w:gridCol w:w="3271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Artigo</w:t>
            </w:r>
          </w:p>
        </w:tc>
        <w:tc>
          <w:tcPr/>
          <w:p>
            <w:pPr>
              <w:pStyle w:val="Compact"/>
            </w:pPr>
            <w:r>
              <w:t xml:space="preserve">Dispositivo Legal</w:t>
            </w:r>
          </w:p>
        </w:tc>
        <w:tc>
          <w:tcPr/>
          <w:p>
            <w:pPr>
              <w:pStyle w:val="Compact"/>
            </w:pPr>
            <w:r>
              <w:t xml:space="preserve">Aplicação ao Caso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CPC, art.º 660.º</w:t>
            </w:r>
          </w:p>
        </w:tc>
        <w:tc>
          <w:tcPr/>
          <w:p>
            <w:pPr>
              <w:pStyle w:val="Compact"/>
            </w:pPr>
            <w:r>
              <w:t xml:space="preserve">“A penhora pode ser requerida como medida cautelar para assegurar o cumprimento de obrigação de fazer, não fazer ou pagar quantia certa.”</w:t>
            </w:r>
          </w:p>
        </w:tc>
        <w:tc>
          <w:tcPr/>
          <w:p>
            <w:pPr>
              <w:pStyle w:val="Compact"/>
            </w:pPr>
            <w:r>
              <w:t xml:space="preserve">A obrigação de pagar custas e despesas constitui obrigação de fazer (pagamento) que pode ser garantida por penhora.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CPC, art.º 661.º</w:t>
            </w:r>
          </w:p>
        </w:tc>
        <w:tc>
          <w:tcPr/>
          <w:p>
            <w:pPr>
              <w:pStyle w:val="Compact"/>
            </w:pPr>
            <w:r>
              <w:t xml:space="preserve">“A penhora pode recair sobre bens móveis, imóveis, direitos ou valores.”</w:t>
            </w:r>
          </w:p>
        </w:tc>
        <w:tc>
          <w:tcPr/>
          <w:p>
            <w:pPr>
              <w:pStyle w:val="Compact"/>
            </w:pPr>
            <w:r>
              <w:t xml:space="preserve">O Réu possui bens imóveis, veículos e contas bancárias que podem ser alvo da medida.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CPC, art.º 665.º</w:t>
            </w:r>
          </w:p>
        </w:tc>
        <w:tc>
          <w:tcPr/>
          <w:p>
            <w:pPr>
              <w:pStyle w:val="Compact"/>
            </w:pPr>
            <w:r>
              <w:t xml:space="preserve">“A penhora deve ser precedida de notificação ao devedor, salvo quando houver risco de dissipação dos bens.”</w:t>
            </w:r>
          </w:p>
        </w:tc>
        <w:tc>
          <w:tcPr/>
          <w:p>
            <w:pPr>
              <w:pStyle w:val="Compact"/>
            </w:pPr>
            <w:r>
              <w:t xml:space="preserve">O Réu foi notificado extrajudicialmente; há risco de alienação dos bens.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CPC, art.º 673.º</w:t>
            </w:r>
          </w:p>
        </w:tc>
        <w:tc>
          <w:tcPr/>
          <w:p>
            <w:pPr>
              <w:pStyle w:val="Compact"/>
            </w:pPr>
            <w:r>
              <w:t xml:space="preserve">“A penhora será levantada quando satisfeito o crédito ou extinto o processo.”</w:t>
            </w:r>
          </w:p>
        </w:tc>
        <w:tc>
          <w:tcPr/>
          <w:p>
            <w:pPr>
              <w:pStyle w:val="Compact"/>
            </w:pPr>
            <w:r>
              <w:t xml:space="preserve">A penhora será levantada após o pagamento integral das custas e das despesas de acompanhamento.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Código Civil, art.º 1878.º</w:t>
            </w:r>
          </w:p>
        </w:tc>
        <w:tc>
          <w:tcPr/>
          <w:p>
            <w:pPr>
              <w:pStyle w:val="Compact"/>
            </w:pPr>
            <w:r>
              <w:t xml:space="preserve">“O dever de sustento inclui o pagamento de despesas de educação e saúde da criança.”</w:t>
            </w:r>
          </w:p>
        </w:tc>
        <w:tc>
          <w:tcPr/>
          <w:p>
            <w:pPr>
              <w:pStyle w:val="Compact"/>
            </w:pPr>
            <w:r>
              <w:t xml:space="preserve">Reflete a necessidade de garantir recursos para o bem‑estar da menor.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iii.-bens-suscetíveis-de-penhora"/>
    <w:p>
      <w:pPr>
        <w:pStyle w:val="Heading3"/>
      </w:pPr>
      <w:r>
        <w:t xml:space="preserve">III. Bens Suscetíveis de Penhora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433"/>
        <w:gridCol w:w="2061"/>
        <w:gridCol w:w="1410"/>
        <w:gridCol w:w="2169"/>
        <w:gridCol w:w="184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Descrição do Bem</w:t>
            </w:r>
          </w:p>
        </w:tc>
        <w:tc>
          <w:tcPr/>
          <w:p>
            <w:pPr>
              <w:pStyle w:val="Compact"/>
            </w:pPr>
            <w:r>
              <w:t xml:space="preserve">Localização</w:t>
            </w:r>
          </w:p>
        </w:tc>
        <w:tc>
          <w:tcPr/>
          <w:p>
            <w:pPr>
              <w:pStyle w:val="Compact"/>
            </w:pPr>
            <w:r>
              <w:t xml:space="preserve">Valor Estimado (€)</w:t>
            </w:r>
          </w:p>
        </w:tc>
        <w:tc>
          <w:tcPr/>
          <w:p>
            <w:pPr>
              <w:pStyle w:val="Compact"/>
            </w:pPr>
            <w:r>
              <w:t xml:space="preserve">Tipo de Penhora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Apartamento T3 (referência matricial 12345/2024)</w:t>
            </w:r>
          </w:p>
        </w:tc>
        <w:tc>
          <w:tcPr/>
          <w:p>
            <w:pPr>
              <w:pStyle w:val="Compact"/>
            </w:pPr>
            <w:r>
              <w:t xml:space="preserve">Rua da Independência, nº 78, 2.º Esq., 1050‑200 Lisboa</w:t>
            </w:r>
          </w:p>
        </w:tc>
        <w:tc>
          <w:tcPr/>
          <w:p>
            <w:pPr>
              <w:pStyle w:val="Compact"/>
            </w:pPr>
            <w:r>
              <w:t xml:space="preserve">210 000,00</w:t>
            </w:r>
          </w:p>
        </w:tc>
        <w:tc>
          <w:tcPr/>
          <w:p>
            <w:pPr>
              <w:pStyle w:val="Compact"/>
            </w:pPr>
            <w:r>
              <w:t xml:space="preserve">Penhora de imóvel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Veículo – Volkswagen Golf 2018, matrícula 45‑AB‑67</w:t>
            </w:r>
          </w:p>
        </w:tc>
        <w:tc>
          <w:tcPr/>
          <w:p>
            <w:pPr>
              <w:pStyle w:val="Compact"/>
            </w:pPr>
            <w:r>
              <w:t xml:space="preserve">Lisboa – Parque de Estacionamento Central</w:t>
            </w:r>
          </w:p>
        </w:tc>
        <w:tc>
          <w:tcPr/>
          <w:p>
            <w:pPr>
              <w:pStyle w:val="Compact"/>
            </w:pPr>
            <w:r>
              <w:t xml:space="preserve">15 000,00</w:t>
            </w:r>
          </w:p>
        </w:tc>
        <w:tc>
          <w:tcPr/>
          <w:p>
            <w:pPr>
              <w:pStyle w:val="Compact"/>
            </w:pPr>
            <w:r>
              <w:t xml:space="preserve">Penhora de bem móvel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Conta bancária – Banco BPI, N.º PT50 0000 0000 0000 1234 5678 9</w:t>
            </w:r>
          </w:p>
        </w:tc>
        <w:tc>
          <w:tcPr/>
          <w:p>
            <w:pPr>
              <w:pStyle w:val="Compact"/>
            </w:pPr>
            <w:r>
              <w:t xml:space="preserve">Lisboa</w:t>
            </w:r>
          </w:p>
        </w:tc>
        <w:tc>
          <w:tcPr/>
          <w:p>
            <w:pPr>
              <w:pStyle w:val="Compact"/>
            </w:pPr>
            <w:r>
              <w:t xml:space="preserve">12 500,00</w:t>
            </w:r>
          </w:p>
        </w:tc>
        <w:tc>
          <w:tcPr/>
          <w:p>
            <w:pPr>
              <w:pStyle w:val="Compact"/>
            </w:pPr>
            <w:r>
              <w:t xml:space="preserve">Penhora de saldo bancário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Direitos de crédito – dívida de € 8 000,00 a terceiros</w:t>
            </w:r>
          </w:p>
        </w:tc>
        <w:tc>
          <w:tcPr/>
          <w:p>
            <w:pPr>
              <w:pStyle w:val="Compact"/>
            </w:pPr>
            <w:r>
              <w:t xml:space="preserve">Diversos</w:t>
            </w:r>
          </w:p>
        </w:tc>
        <w:tc>
          <w:tcPr/>
          <w:p>
            <w:pPr>
              <w:pStyle w:val="Compact"/>
            </w:pPr>
            <w:r>
              <w:t xml:space="preserve">8 000,00</w:t>
            </w:r>
          </w:p>
        </w:tc>
        <w:tc>
          <w:tcPr/>
          <w:p>
            <w:pPr>
              <w:pStyle w:val="Compact"/>
            </w:pPr>
            <w:r>
              <w:t xml:space="preserve">Penhora de créditos</w:t>
            </w:r>
          </w:p>
        </w:tc>
      </w:tr>
    </w:tbl>
    <w:p>
      <w:pPr>
        <w:pStyle w:val="BodyText"/>
      </w:pPr>
      <w:r>
        <w:rPr>
          <w:i/>
          <w:iCs/>
        </w:rPr>
        <w:t xml:space="preserve">Os valores são estimativas baseadas em avaliação pericial preliminar (laudo anexo –</w:t>
      </w:r>
      <w:r>
        <w:rPr>
          <w:i/>
          <w:iCs/>
        </w:rPr>
        <w:t xml:space="preserve"> </w:t>
      </w:r>
      <w:r>
        <w:rPr>
          <w:b/>
          <w:bCs/>
          <w:i/>
          <w:iCs/>
        </w:rPr>
        <w:t xml:space="preserve">Anexo I</w:t>
      </w:r>
      <w:r>
        <w:rPr>
          <w:i/>
          <w:iCs/>
        </w:rPr>
        <w:t xml:space="preserve">).</w:t>
      </w:r>
    </w:p>
    <w:p>
      <w:r>
        <w:pict>
          <v:rect style="width:0;height:1.5pt" o:hralign="center" o:hrstd="t" o:hr="t"/>
        </w:pict>
      </w:r>
    </w:p>
    <w:bookmarkEnd w:id="11"/>
    <w:bookmarkStart w:id="12" w:name="iv.-pedidos"/>
    <w:p>
      <w:pPr>
        <w:pStyle w:val="Heading3"/>
      </w:pPr>
      <w:r>
        <w:t xml:space="preserve">IV. Pedidos</w:t>
      </w:r>
    </w:p>
    <w:p>
      <w:pPr>
        <w:pStyle w:val="FirstParagraph"/>
      </w:pPr>
      <w:r>
        <w:t xml:space="preserve">Face ao exposto, requer a Vossa Excelência: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 concessão de medida cautelar de penhora</w:t>
      </w:r>
      <w:r>
        <w:t xml:space="preserve"> </w:t>
      </w:r>
      <w:r>
        <w:t xml:space="preserve">sobre os bens descritos na tabela acima, nos termos dos artigos 660.º a 673.º do CPC, a fim de garantir o pagamento das</w:t>
      </w:r>
      <w:r>
        <w:t xml:space="preserve"> </w:t>
      </w:r>
      <w:r>
        <w:rPr>
          <w:b/>
          <w:bCs/>
        </w:rPr>
        <w:t xml:space="preserve">custas processuais</w:t>
      </w:r>
      <w:r>
        <w:t xml:space="preserve"> </w:t>
      </w:r>
      <w:r>
        <w:t xml:space="preserve">e das</w:t>
      </w:r>
      <w:r>
        <w:t xml:space="preserve"> </w:t>
      </w:r>
      <w:r>
        <w:rPr>
          <w:b/>
          <w:bCs/>
        </w:rPr>
        <w:t xml:space="preserve">despesas de acompanhamento psicossocial</w:t>
      </w:r>
      <w:r>
        <w:t xml:space="preserve"> </w:t>
      </w:r>
      <w:r>
        <w:t xml:space="preserve">fixadas na sentença de 15 de janeiro de 2023.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 nomeação de perito oficial</w:t>
      </w:r>
      <w:r>
        <w:t xml:space="preserve"> </w:t>
      </w:r>
      <w:r>
        <w:t xml:space="preserve">para proceder à avaliação definitiva dos bens penhorados, bem como à sua eventual alienação, caso persista a inadimplência do Réu.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 intimação do Réu</w:t>
      </w:r>
      <w:r>
        <w:t xml:space="preserve">, José António Pereira, para que, no prazo de</w:t>
      </w:r>
      <w:r>
        <w:t xml:space="preserve"> </w:t>
      </w:r>
      <w:r>
        <w:rPr>
          <w:b/>
          <w:bCs/>
        </w:rPr>
        <w:t xml:space="preserve">10 (dez) dias úteis</w:t>
      </w:r>
      <w:r>
        <w:t xml:space="preserve">, proceda ao pagamento integral das quantias devidas, sob pena de execução imediata da penhora e posterior leilão dos bens.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 expedição de ofícios</w:t>
      </w:r>
      <w:r>
        <w:t xml:space="preserve"> </w:t>
      </w:r>
      <w:r>
        <w:t xml:space="preserve">aos registos prediais, ao Banco de Portugal e à Autoridade Tributária e Aduaneira, a fim de que sejam anotadas as restrições decorrentes da presente penhora.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 condenação do Réu</w:t>
      </w:r>
      <w:r>
        <w:t xml:space="preserve"> </w:t>
      </w:r>
      <w:r>
        <w:t xml:space="preserve">ao pagamento das custas processuais e dos honorários advocatícios referentes ao presente requerimento, nos termos do artigo 84.º do CPC.</w:t>
      </w:r>
    </w:p>
    <w:p>
      <w:pPr>
        <w:numPr>
          <w:ilvl w:val="0"/>
          <w:numId w:val="1002"/>
        </w:numPr>
      </w:pPr>
      <w:r>
        <w:rPr>
          <w:b/>
          <w:bCs/>
        </w:rPr>
        <w:t xml:space="preserve">A juntada</w:t>
      </w:r>
      <w:r>
        <w:t xml:space="preserve"> </w:t>
      </w:r>
      <w:r>
        <w:t xml:space="preserve">dos documentos que comprovam a existência e a localização dos bens (certidão predial, contrato de compra e venda do veículo, extrato bancário, contrato de crédito), bem como o</w:t>
      </w:r>
      <w:r>
        <w:t xml:space="preserve"> </w:t>
      </w:r>
      <w:r>
        <w:rPr>
          <w:b/>
          <w:bCs/>
        </w:rPr>
        <w:t xml:space="preserve">laudo pericial preliminar</w:t>
      </w:r>
      <w:r>
        <w:t xml:space="preserve"> </w:t>
      </w:r>
      <w:r>
        <w:t xml:space="preserve">(Anexo I).</w:t>
      </w:r>
    </w:p>
    <w:p>
      <w:r>
        <w:pict>
          <v:rect style="width:0;height:1.5pt" o:hralign="center" o:hrstd="t" o:hr="t"/>
        </w:pict>
      </w:r>
    </w:p>
    <w:bookmarkEnd w:id="12"/>
    <w:bookmarkStart w:id="13" w:name="v.-protesta-por-provas"/>
    <w:p>
      <w:pPr>
        <w:pStyle w:val="Heading3"/>
      </w:pPr>
      <w:r>
        <w:t xml:space="preserve">V. Protesta por Provas</w:t>
      </w:r>
    </w:p>
    <w:p>
      <w:pPr>
        <w:pStyle w:val="FirstParagraph"/>
      </w:pPr>
      <w:r>
        <w:t xml:space="preserve">Requer a Vossa Excelência a produção de todos os meios de prova admitidos em direito, designadamente: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Prova documental</w:t>
      </w:r>
      <w:r>
        <w:t xml:space="preserve"> </w:t>
      </w:r>
      <w:r>
        <w:t xml:space="preserve">(certidões, contratos, extratos bancários);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Prova pericial</w:t>
      </w:r>
      <w:r>
        <w:t xml:space="preserve"> </w:t>
      </w:r>
      <w:r>
        <w:t xml:space="preserve">(avaliação dos bens);</w:t>
      </w:r>
      <w:r>
        <w:br/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Prova testemunhal</w:t>
      </w:r>
      <w:r>
        <w:t xml:space="preserve">, caso se revele necessária, com a oitiva de vizinhos e do agente de visitas supervisionadas.</w:t>
      </w:r>
    </w:p>
    <w:p>
      <w:r>
        <w:pict>
          <v:rect style="width:0;height:1.5pt" o:hralign="center" o:hrstd="t" o:hr="t"/>
        </w:pict>
      </w:r>
    </w:p>
    <w:bookmarkEnd w:id="13"/>
    <w:bookmarkStart w:id="14" w:name="vi.-termos-em-que"/>
    <w:p>
      <w:pPr>
        <w:pStyle w:val="Heading3"/>
      </w:pPr>
      <w:r>
        <w:t xml:space="preserve">VI. Termos em que,</w:t>
      </w:r>
    </w:p>
    <w:p>
      <w:pPr>
        <w:pStyle w:val="FirstParagraph"/>
      </w:pPr>
      <w:r>
        <w:t xml:space="preserve">Pede deferimento.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Lisboa, 15 de março de 2024</w:t>
      </w:r>
    </w:p>
    <w:p>
      <w:pPr>
        <w:pStyle w:val="BodyText"/>
      </w:pPr>
      <w:r>
        <w:t xml:space="preserve">_______________________________ | _______________________________ |</w:t>
      </w:r>
      <w:r>
        <w:br/>
      </w:r>
      <w:r>
        <w:t xml:space="preserve">Dr. Ana Sofia Martins</w:t>
      </w:r>
      <w:r>
        <w:t xml:space="preserve"> </w:t>
      </w:r>
      <w:r>
        <w:t xml:space="preserve"> </w:t>
      </w:r>
      <w:r>
        <w:t xml:space="preserve">OAB/Portugal nº 12345 | Dr. Luís Fernando Carvalho</w:t>
      </w:r>
      <w:r>
        <w:t xml:space="preserve"> </w:t>
      </w:r>
      <w:r>
        <w:t xml:space="preserve"> </w:t>
      </w:r>
      <w:r>
        <w:t xml:space="preserve">OAB/Portugal nº 67890 |</w:t>
      </w:r>
      <w:r>
        <w:br/>
      </w:r>
      <w:r>
        <w:t xml:space="preserve">Advogados do Requerente | Advogados do Requerente |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Anexo I – Laudo Pericial Preliminar</w:t>
      </w:r>
      <w:r>
        <w:t xml:space="preserve"> </w:t>
      </w:r>
      <w:r>
        <w:t xml:space="preserve">(valor dos bens)</w:t>
      </w:r>
      <w:r>
        <w:br/>
      </w:r>
      <w:r>
        <w:rPr>
          <w:b/>
          <w:bCs/>
        </w:rPr>
        <w:t xml:space="preserve">Anexo II – Cópia da Sentença de 15 de janeiro de 2023</w:t>
      </w:r>
      <w:r>
        <w:br/>
      </w:r>
      <w:r>
        <w:rPr>
          <w:b/>
          <w:bCs/>
        </w:rPr>
        <w:t xml:space="preserve">Anexo III – Notificações Extrajudiciais enviadas ao Réu</w:t>
      </w:r>
    </w:p>
    <w:bookmarkEnd w:id="14"/>
    <w:bookmarkEnd w:id="15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2026-02-22T18:47:59Z</dcterms:created>
  <dcterms:modified xsi:type="dcterms:W3CDTF">2026-02-22T18:47:59Z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